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196F78" w:rsidTr="000679C7">
        <w:trPr>
          <w:trHeight w:val="1635"/>
        </w:trPr>
        <w:tc>
          <w:tcPr>
            <w:tcW w:w="10278" w:type="dxa"/>
            <w:shd w:val="clear" w:color="auto" w:fill="FFFFFF"/>
          </w:tcPr>
          <w:p w:rsidR="002E4F35" w:rsidRPr="0073392A" w:rsidRDefault="002E4F35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32"/>
                <w:szCs w:val="22"/>
                <w:lang w:eastAsia="fr-FR"/>
              </w:rPr>
            </w:pPr>
          </w:p>
          <w:p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POURCENTAGE DE </w:t>
            </w:r>
            <w:r w:rsidR="002E4F35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  <w:r w:rsidR="00D248AC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 SUR LE CHIFFRE D’AFFAIRE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:rsidR="00DC1052" w:rsidRPr="0073392A" w:rsidRDefault="00DC1052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B909E2" w:rsidRPr="00B909E2" w:rsidRDefault="00B909E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"/>
          <w:szCs w:val="20"/>
        </w:rPr>
      </w:pPr>
    </w:p>
    <w:p w:rsidR="00DC1052" w:rsidRDefault="00DC105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  <w:highlight w:val="cyan"/>
        </w:rPr>
      </w:pPr>
      <w:r w:rsidRPr="005659F3">
        <w:rPr>
          <w:rFonts w:ascii="Corbel" w:hAnsi="Corbel" w:cstheme="majorHAnsi"/>
          <w:sz w:val="20"/>
          <w:szCs w:val="20"/>
        </w:rPr>
        <w:t xml:space="preserve">Lot 1 : </w:t>
      </w:r>
      <w:r>
        <w:rPr>
          <w:rFonts w:ascii="Corbel" w:hAnsi="Corbel" w:cstheme="majorHAnsi"/>
          <w:sz w:val="20"/>
          <w:szCs w:val="20"/>
        </w:rPr>
        <w:tab/>
      </w:r>
      <w:r w:rsidRPr="005659F3">
        <w:rPr>
          <w:rFonts w:ascii="Corbel" w:hAnsi="Corbel" w:cstheme="majorHAnsi"/>
          <w:sz w:val="20"/>
          <w:szCs w:val="20"/>
        </w:rPr>
        <w:t>Fourniture et livraison de PAIN pour les patients du CHU de Montpellier</w:t>
      </w:r>
    </w:p>
    <w:p w:rsidR="00DC1052" w:rsidRDefault="00DC105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DC1052" w:rsidRPr="00DC1052" w:rsidTr="00D51503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DC1052" w:rsidRDefault="00D248AC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Chiffre d'affaire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 xml:space="preserve"> en € HT réalisé au CHU de Montpellier sur la durée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&gt; à 300 000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300 000 € ≤CA&lt; &gt; à 500 000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500 000 € ≤CA 1 000 000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≥ 1 000 000</w:t>
            </w:r>
          </w:p>
        </w:tc>
      </w:tr>
      <w:tr w:rsidR="00DC1052" w:rsidRPr="00DC1052" w:rsidTr="00D51503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052" w:rsidRPr="00DC1052" w:rsidRDefault="0015742D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0.8</w:t>
            </w:r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DC1052" w:rsidRDefault="00DC1052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DC1052">
              <w:rPr>
                <w:rFonts w:ascii="Corbel" w:hAnsi="Corbel" w:cs="Calibri"/>
                <w:color w:val="000000"/>
              </w:rPr>
              <w:t>1 %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DC1052" w:rsidRDefault="0015742D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1.</w:t>
            </w:r>
            <w:r w:rsidR="00DC1052" w:rsidRPr="00DC1052">
              <w:rPr>
                <w:rFonts w:ascii="Corbel" w:hAnsi="Corbel" w:cs="Calibri"/>
                <w:color w:val="000000"/>
              </w:rPr>
              <w:t>2 %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052" w:rsidRPr="00DC1052" w:rsidRDefault="0015742D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</w:t>
            </w:r>
            <w:r w:rsidR="00DC1052" w:rsidRPr="00DC1052">
              <w:rPr>
                <w:rFonts w:ascii="Corbel" w:hAnsi="Corbel" w:cs="Calibri"/>
                <w:color w:val="000000"/>
              </w:rPr>
              <w:t>,5 %</w:t>
            </w:r>
          </w:p>
        </w:tc>
      </w:tr>
      <w:tr w:rsidR="00DC1052" w:rsidRPr="005E750C" w:rsidTr="00D51503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:rsidR="00DC1052" w:rsidRDefault="00DC105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15742D" w:rsidRDefault="0015742D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:rsidR="00E019DC" w:rsidRDefault="00B909E2">
      <w:r w:rsidRPr="00B909E2">
        <w:t>Lot 2 : Fourniture et livraison de PAIN (tournée 1) - Pain PATIENTS</w:t>
      </w:r>
    </w:p>
    <w:p w:rsidR="00B909E2" w:rsidRDefault="00B909E2"/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15742D" w:rsidRPr="00DC1052" w:rsidTr="001E2787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Chiffre d'affaire</w:t>
            </w:r>
            <w:r w:rsidRPr="00DC1052">
              <w:rPr>
                <w:rFonts w:ascii="Corbel" w:hAnsi="Corbel" w:cs="Calibri"/>
                <w:b/>
                <w:color w:val="000000"/>
              </w:rPr>
              <w:t xml:space="preserve"> en € HT réalisé au CHU de Montpellier sur la durée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&gt; à 300 000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300 000 € ≤CA&lt; &gt; à 500 000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500 000 € ≤CA 8</w:t>
            </w:r>
            <w:r w:rsidRPr="00DC1052">
              <w:rPr>
                <w:rFonts w:ascii="Corbel" w:hAnsi="Corbel" w:cs="Calibri"/>
                <w:b/>
                <w:color w:val="000000"/>
              </w:rPr>
              <w:t>00 000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≥ 8</w:t>
            </w:r>
            <w:r w:rsidRPr="00DC1052">
              <w:rPr>
                <w:rFonts w:ascii="Corbel" w:hAnsi="Corbel" w:cs="Calibri"/>
                <w:b/>
                <w:color w:val="000000"/>
              </w:rPr>
              <w:t>00 000</w:t>
            </w:r>
          </w:p>
        </w:tc>
      </w:tr>
      <w:tr w:rsidR="00B909E2" w:rsidRPr="00DC1052" w:rsidTr="001E2787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0.6</w:t>
            </w:r>
            <w:r w:rsidR="00B909E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</w:t>
            </w:r>
            <w:r w:rsidR="00B909E2" w:rsidRPr="00DC1052">
              <w:rPr>
                <w:rFonts w:ascii="Corbel" w:hAnsi="Corbel" w:cs="Calibri"/>
                <w:color w:val="000000"/>
              </w:rPr>
              <w:t>,8 %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</w:t>
            </w:r>
            <w:r w:rsidR="00B909E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1.2</w:t>
            </w:r>
            <w:r w:rsidR="00B909E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</w:tr>
      <w:tr w:rsidR="00B909E2" w:rsidRPr="005E750C" w:rsidTr="001E2787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:rsidR="00B909E2" w:rsidRDefault="00B909E2"/>
    <w:p w:rsidR="00B909E2" w:rsidRDefault="00B909E2">
      <w:r w:rsidRPr="00B909E2">
        <w:lastRenderedPageBreak/>
        <w:t>Lot 3 : Fourniture et livraison de PAIN (tournée 2) - PAIN PATIENTS</w:t>
      </w:r>
    </w:p>
    <w:p w:rsidR="00B909E2" w:rsidRDefault="00B909E2"/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15742D" w:rsidRPr="00DC1052" w:rsidTr="001E2787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Chiffre d'affaire</w:t>
            </w:r>
            <w:r w:rsidRPr="00DC1052">
              <w:rPr>
                <w:rFonts w:ascii="Corbel" w:hAnsi="Corbel" w:cs="Calibri"/>
                <w:b/>
                <w:color w:val="000000"/>
              </w:rPr>
              <w:t xml:space="preserve"> en € HT réalisé au CHU de Montpellier sur la durée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&gt; à 300 000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300 000 € ≤CA&lt; &gt; à 500 000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500 000 € ≤CA 8</w:t>
            </w:r>
            <w:r w:rsidRPr="00DC1052">
              <w:rPr>
                <w:rFonts w:ascii="Corbel" w:hAnsi="Corbel" w:cs="Calibri"/>
                <w:b/>
                <w:color w:val="000000"/>
              </w:rPr>
              <w:t>00 000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≥ 8</w:t>
            </w:r>
            <w:r w:rsidRPr="00DC1052">
              <w:rPr>
                <w:rFonts w:ascii="Corbel" w:hAnsi="Corbel" w:cs="Calibri"/>
                <w:b/>
                <w:color w:val="000000"/>
              </w:rPr>
              <w:t>00 000</w:t>
            </w:r>
          </w:p>
        </w:tc>
      </w:tr>
      <w:tr w:rsidR="0015742D" w:rsidRPr="00DC1052" w:rsidTr="001E2787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0.6</w:t>
            </w:r>
            <w:r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</w:t>
            </w:r>
            <w:r w:rsidRPr="00DC1052">
              <w:rPr>
                <w:rFonts w:ascii="Corbel" w:hAnsi="Corbel" w:cs="Calibri"/>
                <w:color w:val="000000"/>
              </w:rPr>
              <w:t>,8 %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</w:t>
            </w:r>
            <w:r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1.2</w:t>
            </w:r>
            <w:r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</w:tr>
      <w:tr w:rsidR="00B909E2" w:rsidRPr="005E750C" w:rsidTr="001E2787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:rsidR="00B909E2" w:rsidRDefault="00B909E2"/>
    <w:p w:rsidR="00B909E2" w:rsidRDefault="00B909E2">
      <w:r w:rsidRPr="00B909E2">
        <w:t xml:space="preserve">Lot 4 : Fourniture et livraison de PAIN BIOLOGIQUE pour le CHU de Montpellier à destination des longs séjours de l'Hôpital La </w:t>
      </w:r>
      <w:proofErr w:type="spellStart"/>
      <w:r w:rsidRPr="00B909E2">
        <w:t>Colombière</w:t>
      </w:r>
      <w:proofErr w:type="spellEnd"/>
      <w:r w:rsidRPr="00B909E2">
        <w:t xml:space="preserve"> Bellevue Balmes et secteur de Psychiatrie (sauf la cafétéria)</w:t>
      </w:r>
    </w:p>
    <w:p w:rsidR="00B909E2" w:rsidRDefault="00B909E2"/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B909E2" w:rsidRPr="00DC1052" w:rsidTr="001E2787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Chiffre d'affaire</w:t>
            </w:r>
            <w:r w:rsidRPr="00DC1052">
              <w:rPr>
                <w:rFonts w:ascii="Corbel" w:hAnsi="Corbel" w:cs="Calibri"/>
                <w:b/>
                <w:color w:val="000000"/>
              </w:rPr>
              <w:t xml:space="preserve"> en € HT réalisé au CHU de Montpellier sur la durée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DC1052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&gt; à 300 000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300 000 € ≤CA&lt; &gt; à 500 000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500 000 € ≤CA 8</w:t>
            </w:r>
            <w:r w:rsidR="00B909E2" w:rsidRPr="00DC1052">
              <w:rPr>
                <w:rFonts w:ascii="Corbel" w:hAnsi="Corbel" w:cs="Calibri"/>
                <w:b/>
                <w:color w:val="000000"/>
              </w:rPr>
              <w:t>00 000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≥ 8</w:t>
            </w:r>
            <w:r w:rsidR="00B909E2" w:rsidRPr="00DC1052">
              <w:rPr>
                <w:rFonts w:ascii="Corbel" w:hAnsi="Corbel" w:cs="Calibri"/>
                <w:b/>
                <w:color w:val="000000"/>
              </w:rPr>
              <w:t>00 000</w:t>
            </w:r>
          </w:p>
        </w:tc>
      </w:tr>
      <w:tr w:rsidR="00B909E2" w:rsidRPr="00DC1052" w:rsidTr="001E2787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</w:t>
            </w:r>
            <w:r w:rsidR="00B909E2" w:rsidRPr="00DC1052">
              <w:rPr>
                <w:rFonts w:ascii="Corbel" w:hAnsi="Corbel" w:cs="Calibri"/>
                <w:color w:val="000000"/>
              </w:rPr>
              <w:t>,5 %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0,7</w:t>
            </w:r>
            <w:r w:rsidR="00B909E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DC1052" w:rsidRDefault="0015742D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0.9</w:t>
            </w:r>
            <w:r w:rsidR="00B909E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</w:t>
            </w:r>
            <w:r w:rsidR="00B909E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</w:tr>
      <w:tr w:rsidR="00B909E2" w:rsidRPr="005E750C" w:rsidTr="001E2787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:rsidR="00B909E2" w:rsidRDefault="00B909E2"/>
    <w:p w:rsidR="00B909E2" w:rsidRDefault="00B909E2"/>
    <w:p w:rsidR="00B909E2" w:rsidRDefault="00B909E2"/>
    <w:p w:rsidR="00B909E2" w:rsidRDefault="00B909E2"/>
    <w:p w:rsidR="00B909E2" w:rsidRDefault="00B909E2"/>
    <w:p w:rsidR="00B909E2" w:rsidRDefault="00B909E2"/>
    <w:p w:rsidR="00B909E2" w:rsidRDefault="00B909E2"/>
    <w:p w:rsidR="00B909E2" w:rsidRDefault="00B909E2"/>
    <w:p w:rsidR="00B909E2" w:rsidRDefault="00B909E2">
      <w:r w:rsidRPr="00B909E2">
        <w:t xml:space="preserve">Lot 5 : Fourniture et livraison de PAIN pour le CHU de Montpellier à destination des selfs, des internats et de l'Hôpital La </w:t>
      </w:r>
      <w:proofErr w:type="spellStart"/>
      <w:r w:rsidRPr="00B909E2">
        <w:t>Colombière</w:t>
      </w:r>
      <w:proofErr w:type="spellEnd"/>
      <w:r w:rsidRPr="00B909E2">
        <w:t>, la crèche (fabriqué à partir de farine issue de filières de blé équitable telles que certifiées par un label reconnu (Agri éthique ou équivalent)</w:t>
      </w:r>
    </w:p>
    <w:p w:rsidR="00B909E2" w:rsidRDefault="00B909E2">
      <w:bookmarkStart w:id="0" w:name="_GoBack"/>
      <w:bookmarkEnd w:id="0"/>
    </w:p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15742D" w:rsidRPr="00DC1052" w:rsidTr="001E2787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Chiffre d'affaire</w:t>
            </w:r>
            <w:r w:rsidRPr="00DC1052">
              <w:rPr>
                <w:rFonts w:ascii="Corbel" w:hAnsi="Corbel" w:cs="Calibri"/>
                <w:b/>
                <w:color w:val="000000"/>
              </w:rPr>
              <w:t xml:space="preserve"> en € HT réalisé au CHU de Montpellier sur la durée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&gt; à 300 000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300 000 € ≤CA&lt; &gt; à 500 000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500 000 € ≤CA 8</w:t>
            </w:r>
            <w:r w:rsidRPr="00DC1052">
              <w:rPr>
                <w:rFonts w:ascii="Corbel" w:hAnsi="Corbel" w:cs="Calibri"/>
                <w:b/>
                <w:color w:val="000000"/>
              </w:rPr>
              <w:t>00 000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≥ 8</w:t>
            </w:r>
            <w:r w:rsidRPr="00DC1052">
              <w:rPr>
                <w:rFonts w:ascii="Corbel" w:hAnsi="Corbel" w:cs="Calibri"/>
                <w:b/>
                <w:color w:val="000000"/>
              </w:rPr>
              <w:t>00 000</w:t>
            </w:r>
          </w:p>
        </w:tc>
      </w:tr>
      <w:tr w:rsidR="0015742D" w:rsidRPr="00DC1052" w:rsidTr="00B909E2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</w:t>
            </w:r>
            <w:r w:rsidRPr="00DC1052">
              <w:rPr>
                <w:rFonts w:ascii="Corbel" w:hAnsi="Corbel" w:cs="Calibri"/>
                <w:color w:val="000000"/>
              </w:rPr>
              <w:t>,5 %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0,7</w:t>
            </w:r>
            <w:r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0.9</w:t>
            </w:r>
            <w:r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5742D" w:rsidRPr="00DC1052" w:rsidRDefault="0015742D" w:rsidP="0015742D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</w:t>
            </w:r>
            <w:r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</w:tr>
      <w:tr w:rsidR="00B909E2" w:rsidRPr="005E750C" w:rsidTr="001E2787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909E2" w:rsidRPr="005E750C" w:rsidRDefault="00B909E2" w:rsidP="001E2787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:rsidR="00B909E2" w:rsidRDefault="00B909E2"/>
    <w:sectPr w:rsidR="00B909E2" w:rsidSect="00A111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AEE" w:rsidRDefault="00BE2A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77781E">
      <w:t>24</w:t>
    </w:r>
    <w:r w:rsidR="002E4F35">
      <w:t>/03/2025</w:t>
    </w:r>
    <w:r w:rsidR="00142982">
      <w:t xml:space="preserve"> </w:t>
    </w:r>
  </w:p>
  <w:p w:rsidR="00E019DC" w:rsidRDefault="00E019D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AEE" w:rsidRDefault="00BE2A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AEE" w:rsidRDefault="00BE2A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DC1052">
      <w:rPr>
        <w:rFonts w:cs="Calibri"/>
        <w:b/>
        <w:sz w:val="28"/>
        <w:szCs w:val="28"/>
      </w:rPr>
      <w:t>25A0062</w:t>
    </w:r>
  </w:p>
  <w:p w:rsidR="00DC1052" w:rsidRPr="00592ADC" w:rsidRDefault="00DC1052" w:rsidP="00DC1052">
    <w:pPr>
      <w:pStyle w:val="RedTxt"/>
      <w:tabs>
        <w:tab w:val="left" w:pos="9070"/>
      </w:tabs>
      <w:jc w:val="center"/>
      <w:rPr>
        <w:rFonts w:ascii="Corbel" w:hAnsi="Corbel" w:cstheme="majorHAnsi"/>
        <w:b/>
        <w:sz w:val="20"/>
        <w:szCs w:val="20"/>
      </w:rPr>
    </w:pPr>
    <w:r w:rsidRPr="00592ADC">
      <w:rPr>
        <w:rFonts w:ascii="Corbel" w:hAnsi="Corbel" w:cstheme="majorHAnsi"/>
        <w:b/>
        <w:sz w:val="20"/>
        <w:szCs w:val="20"/>
      </w:rPr>
      <w:t>FOURNITURE ET LIVRAISON DE PAIN ET VIENNOISERIE POUR LES ETABLISSEMENTS DU GROUPEMENT HOSPITALIER DE TERRITOIRE EST HERAULT ET SUD AVEYRON</w:t>
    </w:r>
  </w:p>
  <w:p w:rsidR="006648AC" w:rsidRDefault="006648AC" w:rsidP="00DC1052">
    <w:pPr>
      <w:shd w:val="clear" w:color="auto" w:fill="FFFFFF" w:themeFill="background1"/>
      <w:jc w:val="center"/>
      <w:rPr>
        <w:rFonts w:cs="Arial"/>
        <w:sz w:val="24"/>
      </w:rPr>
    </w:pPr>
    <w:r w:rsidRPr="006648AC">
      <w:rPr>
        <w:rFonts w:cs="Arial"/>
        <w:sz w:val="24"/>
      </w:rPr>
      <w:t xml:space="preserve"> </w:t>
    </w:r>
    <w:r w:rsidR="007C3186">
      <w:rPr>
        <w:rFonts w:cs="Arial"/>
        <w:sz w:val="24"/>
      </w:rPr>
      <w:t xml:space="preserve">ANNEXE </w:t>
    </w:r>
    <w:r w:rsidR="00BE2AEE">
      <w:rPr>
        <w:rFonts w:cs="Arial"/>
        <w:sz w:val="24"/>
      </w:rPr>
      <w:t>3</w:t>
    </w:r>
    <w:r>
      <w:rPr>
        <w:rFonts w:cs="Arial"/>
        <w:sz w:val="24"/>
      </w:rPr>
      <w:t xml:space="preserve"> à L’acte d’engagement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AEE" w:rsidRDefault="00BE2AE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679C7"/>
    <w:rsid w:val="000B18BE"/>
    <w:rsid w:val="001219E3"/>
    <w:rsid w:val="00137472"/>
    <w:rsid w:val="00142982"/>
    <w:rsid w:val="0015742D"/>
    <w:rsid w:val="0015781B"/>
    <w:rsid w:val="00196F78"/>
    <w:rsid w:val="00217CB8"/>
    <w:rsid w:val="002E4F35"/>
    <w:rsid w:val="00364DCE"/>
    <w:rsid w:val="00484CE3"/>
    <w:rsid w:val="00486247"/>
    <w:rsid w:val="00566741"/>
    <w:rsid w:val="005C6ED2"/>
    <w:rsid w:val="005F5667"/>
    <w:rsid w:val="0066185D"/>
    <w:rsid w:val="006648AC"/>
    <w:rsid w:val="0067464A"/>
    <w:rsid w:val="006E76B2"/>
    <w:rsid w:val="007209A3"/>
    <w:rsid w:val="007235F8"/>
    <w:rsid w:val="0073392A"/>
    <w:rsid w:val="00753AED"/>
    <w:rsid w:val="0077781E"/>
    <w:rsid w:val="007C3186"/>
    <w:rsid w:val="0081608F"/>
    <w:rsid w:val="008D34DB"/>
    <w:rsid w:val="008D76A3"/>
    <w:rsid w:val="008F6207"/>
    <w:rsid w:val="00930A1B"/>
    <w:rsid w:val="009B27F9"/>
    <w:rsid w:val="00A11197"/>
    <w:rsid w:val="00AB1D12"/>
    <w:rsid w:val="00B909E2"/>
    <w:rsid w:val="00BD146D"/>
    <w:rsid w:val="00BE2AEE"/>
    <w:rsid w:val="00BF4125"/>
    <w:rsid w:val="00CC488D"/>
    <w:rsid w:val="00D248AC"/>
    <w:rsid w:val="00D850D7"/>
    <w:rsid w:val="00DC1052"/>
    <w:rsid w:val="00DC56F8"/>
    <w:rsid w:val="00DD66E8"/>
    <w:rsid w:val="00E019DC"/>
    <w:rsid w:val="00EA293A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A9C999A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7F08CA-9E00-4C42-A9A6-8625D222E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0641A4-B8E8-4718-BAC1-D492FB9E7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3E587-DE1E-474C-B4AD-5DE1E3C6D5B5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461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LOBJOIS SISSIA</cp:lastModifiedBy>
  <cp:revision>6</cp:revision>
  <dcterms:created xsi:type="dcterms:W3CDTF">2025-05-09T11:11:00Z</dcterms:created>
  <dcterms:modified xsi:type="dcterms:W3CDTF">2025-07-23T09:23:00Z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